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hyperlink r:id="rId4" w:history="1">
        <w:r w:rsidRPr="0070594E">
          <w:rPr>
            <w:rFonts w:ascii="Times New Roman" w:eastAsia="Times New Roman" w:hAnsi="Times New Roman" w:cs="Times New Roman"/>
            <w:color w:val="006F0D"/>
            <w:sz w:val="28"/>
            <w:szCs w:val="28"/>
            <w:u w:val="single"/>
            <w:lang w:eastAsia="ru-RU"/>
          </w:rPr>
          <w:t>трезвенном движении</w:t>
        </w:r>
      </w:hyperlink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было слышно до конца 1880-х годов. Впрочем, отдельные попытки организовать кружки поборников трезвости стали замечаться несколько ранее. Так, в 1874 году открылось общество трезвости в с.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Дейкаловке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Полтавской губернии, а 5 июля 1882 года великий русский педагог С.А. Рачинский учредил «согласие» трезвости в с.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Татеве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Смоленской губернии</w:t>
      </w:r>
      <w:bookmarkStart w:id="0" w:name="_ftnref3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"_ftn3"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[3]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0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Оно имело устав, попечителей и хорошо организованную программу по борьбе с пьянством. Конечно, не сразу С.А. Рачинскому удалось достигнуть таких результатов, но он верил, что не только для 50–70 членов–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езвенников стоит потрудиться, но даже и для одного. Тогда же он впервые четко сформулировал главное правило утверждения трезвой жизни: православная трезвенная работа может быть плодотворной только при церковном приходе. Только под благодатным воздействием Церкви возможно исцеление человеческих душ от пороков</w:t>
      </w:r>
      <w:bookmarkStart w:id="1" w:name="_ftnref4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"_ftn4"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[4]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1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Татевское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общество трезвости послужило образцом для тысяч подобных обществ и положило начало большому движению за трезвость в Русской Православной Церкви. </w:t>
      </w:r>
    </w:p>
    <w:p w:rsidR="0070594E" w:rsidRPr="0070594E" w:rsidRDefault="0070594E" w:rsidP="007059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Рачинского с самого начала привлек пристальное внимание обер-прокурора Святейшего Синода К.П. Победоносцева, с которым Рачинский состоял в дружеской переписке. Еще в июне 1882 года Победоносцев обещал оказать новому начинанию всемерную поддержку (в частности, написать Смоленскому губернатору и поговорить с министром внутренних дел Д.А. Толстым) и просил прислать «план и организацию» образуемого общества</w:t>
      </w:r>
      <w:bookmarkStart w:id="2" w:name="_ftnref5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"http://www.pravoslavie.ru/jurnal/59515.htm" \l "_ftn5" \o "" </w:instrText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[5]</w:t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2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половине 1880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 xml:space="preserve">х годов в разных местностях России под влиянием бесед и проповедей священников крестьянами стали составляться приговоры о закрытии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кабаков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питейных заведений. Однако эти начинания, поддерживаемые епархиальными архиереями, встречали ожесточенное сопротивление кабатчиков, помещиков (на землях которых зачастую и находились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кабаки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 местных властей, находящихся «в тесной дружбе с 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виноторговцами». В результате крестьянские приговоры, как правило, не утверждались уездными и губернскими присутствиями по питейным делам, а священники подвергались преследованиям</w:t>
      </w:r>
      <w:bookmarkStart w:id="3" w:name="_ftnref6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"_ftn6"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[6]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3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0594E" w:rsidRPr="0070594E" w:rsidRDefault="0070594E" w:rsidP="007059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не менее, было очевидно, что начинать эту борьбу придется именно Церкви. </w:t>
      </w:r>
      <w:proofErr w:type="gramStart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апреле 1889 года Победоносцев выдвинул в Синоде предложение о «возможных со стороны духовного ведомства мерах в видах содействия правительству по искоренению в народе пьянства», результатом которого стал </w:t>
      </w:r>
      <w:r w:rsidRPr="007059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циркулярный указ Синода от 10 августа того же года,</w:t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говорилось, что «православное духовенство и само лично, и при помощи обществ трезвости, приходских попечительств, церковных советов, при непосредственном и деятельном вспомоществовании</w:t>
      </w:r>
      <w:proofErr w:type="gramEnd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епархиальной власти, должно выступить на неустанную борьбу с пьянством и всеми силами содействовать искоренению пристрастия в народе к спиртным напиткам». Епархиальным архиереям предлагалось «донести Святейшему Синоду, существуют ли в настоящее время… общества трезвости и в чем обнаружилось влияние их на религиозно-нравственное состояние как принадлежащих к их составу лиц, так и на окрестное население»</w:t>
      </w:r>
      <w:bookmarkStart w:id="4" w:name="_ftnref8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"http://www.pravoslavie.ru/jurnal/59515.htm" \l "_ftn8" \o "" </w:instrText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[8]</w:t>
      </w: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4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устройстве обще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тр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езвости было рекомендовано брать за образец устав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Татевского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общества трезвости, написанный С.А. Рачинским. </w:t>
      </w:r>
    </w:p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Постановления Святейшего Синода и Московской духовной консистории подтолкнули духовенство к активной деятельности по борьбе с пьянством. Информацию о </w:t>
      </w:r>
      <w:r w:rsidRPr="007059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известном нам </w:t>
      </w:r>
      <w:r w:rsidRPr="007059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обществе трезвости в Московской губернии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находим в справочнике Н.И. Григорьева.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сообщает об открытии 21 ноября 1890 года священником И. Карповым общества трезвости при церкви в с. Гололобове Коломенского уезда.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Покровителем общества являлся святой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Пантелеимон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Целитель.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«При приеме в члены общества дается обет воздержания перед иконою этого святого и целуется икона, которая потом с 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надписью дается новому члену; после обедни служится молебен покровителю общества с акафистом; икона в доме членов держится на видном месте; члены общества поминаются на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ектении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литургией; срок обета не меньше как на год.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год записалось 94 человека, во второй – 59, на третий – 133 человека; члены общества – большею частью рабочие на заводе Струве; много поступило в общество членами из дальних деревень и других заводов; были случаи нарушения обета, но отпавшие от общества если и пьют вино, то умереннее прежнего; многие члены повторяют свой обет из года в год»</w:t>
      </w:r>
      <w:bookmarkStart w:id="5" w:name="_ftnref10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"_ftn10"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[10]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5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 общества трезвости в Нахабино связано с именем священника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нахабинской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церкви Покрова Богородицы отца Сергия Пермского. Это был человек далеко не заурядный. Он родился в Москве в 1863 году. После окончания семинарии в начале 1880-х годов получил приход в селе Нахабино. Здесь же вел уроки Закона </w:t>
      </w:r>
      <w:proofErr w:type="spell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Божиего</w:t>
      </w:r>
      <w:proofErr w:type="spell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начальном народном училище. Здесь основал общество трезвости, которое получило широкую известность. </w:t>
      </w:r>
    </w:p>
    <w:tbl>
      <w:tblPr>
        <w:tblpPr w:leftFromText="195" w:rightFromText="45" w:bottomFromText="75" w:vertAnchor="text" w:tblpXSpec="right" w:tblpYSpec="center"/>
        <w:tblW w:w="340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405"/>
      </w:tblGrid>
      <w:tr w:rsidR="0070594E" w:rsidRPr="0070594E" w:rsidTr="00F92513">
        <w:trPr>
          <w:tblCellSpacing w:w="0" w:type="dxa"/>
        </w:trPr>
        <w:tc>
          <w:tcPr>
            <w:tcW w:w="0" w:type="auto"/>
            <w:hideMark/>
          </w:tcPr>
          <w:p w:rsidR="0070594E" w:rsidRPr="0070594E" w:rsidRDefault="0070594E" w:rsidP="0070594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94E" w:rsidRPr="0070594E" w:rsidTr="00F92513">
        <w:trPr>
          <w:tblCellSpacing w:w="0" w:type="dxa"/>
        </w:trPr>
        <w:tc>
          <w:tcPr>
            <w:tcW w:w="0" w:type="auto"/>
            <w:hideMark/>
          </w:tcPr>
          <w:p w:rsidR="0070594E" w:rsidRPr="0070594E" w:rsidRDefault="0070594E" w:rsidP="007059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594E" w:rsidRPr="0070594E" w:rsidRDefault="0070594E" w:rsidP="007059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Учредитель </w:t>
      </w:r>
      <w:proofErr w:type="spellStart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Нахабинского</w:t>
      </w:r>
      <w:proofErr w:type="spellEnd"/>
      <w:r w:rsidRPr="00705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трезвости, священник церкви села Нахабина отец Сергий Пермский вел собственную статистику. Он записывал в книгу регистрации общества не только имена и фамилии, но и место рождения, сословие, профессию, место работы. Это давало возможность в какой-то мере проследить дальнейшие судьбы людей. </w:t>
      </w:r>
    </w:p>
    <w:p w:rsidR="0070594E" w:rsidRPr="0070594E" w:rsidRDefault="0070594E" w:rsidP="0070594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некоторые выписки из этой книги, о которых упоминает Орлов в своей работе: «В первый год в состав общества входило 47 человек, причем нарушителей было 15;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второй год в обществе значилось 118 членов… на 3-м году существования общества в нем было уже 314 человек, на 4-м – 358, на 5-м – 1273, на 6-м – 10 368, на 7-м – 30 945 человек»</w:t>
      </w:r>
      <w:bookmarkStart w:id="6" w:name="_ftnref12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"_ftn12"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[12]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6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статистика нам говорит о том, что деятельность отца Сергия с каждым годом 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становилась более известной не только в Нахабино, но и во всей округе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 нему стали стекаться люди из разных концов России. </w:t>
      </w:r>
    </w:p>
    <w:p w:rsidR="0070594E" w:rsidRPr="0070594E" w:rsidRDefault="0070594E" w:rsidP="0070594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речь идет об обете, который должны давать члены общества. Вступающие в члены общества дают пред Святым Крестом и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Евангелием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 установленное обещание и записываются в книгу, которая хранится при церкви. Срок и условия этого обещания могут быть разными. Священник сам устанавливает, какие могут быть сроки в его обществе трезвости. Об этом в уставе может говориться кратко, как, к примеру, в уставе Серпуховского общества: «Записываться членами можно на сроки от одного месяца до года и больше. По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миновании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срока запись возобновляется»</w:t>
      </w:r>
      <w:bookmarkStart w:id="7" w:name="_ftnref29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"_ftn29"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[29]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7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большинстве случаев срок обета выбирался самим трезвенником в силу своих способностей воздержаться от спиртного, но были случаи, когда священник, видя колебания нового члена, сам назначал срок обета для него. </w:t>
      </w:r>
      <w:proofErr w:type="gramStart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«Срок для воздержания от порока пьянства избирается вступающим в общество, а в некоторых случаях назначается и священником, причем имеющим сильное пристрастие к пороку предварительно вступления в члены общества назначается испытание не менее 6 недель, и тогда, по истечении этого срока, принимаются таковые членами»</w:t>
      </w:r>
      <w:bookmarkStart w:id="8" w:name="_ftnref30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"http://www.pravoslavie.ru/jurnal/59515.htm" \l "_ftn30" \o "" </w:instrTex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70594E">
        <w:rPr>
          <w:rFonts w:ascii="Times New Roman" w:eastAsia="Times New Roman" w:hAnsi="Times New Roman" w:cs="Times New Roman"/>
          <w:color w:val="006F0D"/>
          <w:sz w:val="28"/>
          <w:szCs w:val="28"/>
          <w:u w:val="single"/>
          <w:lang w:eastAsia="ru-RU"/>
        </w:rPr>
        <w:t>[30]</w:t>
      </w:r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bookmarkEnd w:id="8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Пастырь стремился выбрать такой срок обета для трезвенника, чтобы тот его не нарушал.</w:t>
      </w:r>
      <w:proofErr w:type="gramEnd"/>
      <w:r w:rsidRPr="00705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Ведь это было бы нарушением обещания, данного Богу, что могло очень плохо кончиться. А с другой стороны, это нарушение могло быть соблазном и для других членов общества трезвости.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7480">
        <w:rPr>
          <w:rFonts w:ascii="Times New Roman" w:hAnsi="Times New Roman" w:cs="Times New Roman"/>
          <w:sz w:val="28"/>
          <w:szCs w:val="28"/>
        </w:rPr>
        <w:t>Александро-Невским</w:t>
      </w:r>
      <w:proofErr w:type="spellEnd"/>
      <w:r w:rsidRPr="00A37480">
        <w:rPr>
          <w:rFonts w:ascii="Times New Roman" w:hAnsi="Times New Roman" w:cs="Times New Roman"/>
          <w:sz w:val="28"/>
          <w:szCs w:val="28"/>
        </w:rPr>
        <w:t xml:space="preserve"> Всероссийским Братством трезвости. К 1917 году число его членов превышало 140 000 человек. Все они дали Богу обет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480">
        <w:rPr>
          <w:rFonts w:ascii="Times New Roman" w:hAnsi="Times New Roman" w:cs="Times New Roman"/>
          <w:sz w:val="28"/>
          <w:szCs w:val="28"/>
        </w:rPr>
        <w:t xml:space="preserve">Трезвости.  Другим великим подвижником дореволюционного трезвенного движения явился святой праведный Иоанн </w:t>
      </w:r>
      <w:proofErr w:type="spellStart"/>
      <w:r w:rsidRPr="00A37480">
        <w:rPr>
          <w:rFonts w:ascii="Times New Roman" w:hAnsi="Times New Roman" w:cs="Times New Roman"/>
          <w:sz w:val="28"/>
          <w:szCs w:val="28"/>
        </w:rPr>
        <w:t>Кронштадтский</w:t>
      </w:r>
      <w:proofErr w:type="spellEnd"/>
      <w:r w:rsidRPr="00A37480">
        <w:rPr>
          <w:rFonts w:ascii="Times New Roman" w:hAnsi="Times New Roman" w:cs="Times New Roman"/>
          <w:sz w:val="28"/>
          <w:szCs w:val="28"/>
        </w:rPr>
        <w:t xml:space="preserve">. Им был организован Дом трудолюбия — воспитательно-образовательное учреждение для бедных людей, спасающее их от пьянства, лености, праздности, апатии, </w:t>
      </w:r>
      <w:proofErr w:type="gramStart"/>
      <w:r w:rsidRPr="00A37480">
        <w:rPr>
          <w:rFonts w:ascii="Times New Roman" w:hAnsi="Times New Roman" w:cs="Times New Roman"/>
          <w:sz w:val="28"/>
          <w:szCs w:val="28"/>
        </w:rPr>
        <w:lastRenderedPageBreak/>
        <w:t>тунеядства</w:t>
      </w:r>
      <w:proofErr w:type="gramEnd"/>
      <w:r w:rsidRPr="00A37480">
        <w:rPr>
          <w:rFonts w:ascii="Times New Roman" w:hAnsi="Times New Roman" w:cs="Times New Roman"/>
          <w:sz w:val="28"/>
          <w:szCs w:val="28"/>
        </w:rPr>
        <w:t>. В 1882 году состоялось его открытие. Всякий желающий мог выполнять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480">
        <w:rPr>
          <w:rFonts w:ascii="Times New Roman" w:hAnsi="Times New Roman" w:cs="Times New Roman"/>
          <w:sz w:val="28"/>
          <w:szCs w:val="28"/>
        </w:rPr>
        <w:t>в Доме трудолюбия простую работу, например, клейку картузов, трепанье пеньки и т.п., получая за это здоровую сытную пищу, небольшую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480">
        <w:rPr>
          <w:rFonts w:ascii="Times New Roman" w:hAnsi="Times New Roman" w:cs="Times New Roman"/>
          <w:sz w:val="28"/>
          <w:szCs w:val="28"/>
        </w:rPr>
        <w:t xml:space="preserve">плату и ночлег. </w:t>
      </w:r>
      <w:proofErr w:type="gramStart"/>
      <w:r w:rsidRPr="00A37480">
        <w:rPr>
          <w:rFonts w:ascii="Times New Roman" w:hAnsi="Times New Roman" w:cs="Times New Roman"/>
          <w:sz w:val="28"/>
          <w:szCs w:val="28"/>
        </w:rPr>
        <w:t xml:space="preserve">В состав Дома трудолюбия входили следующие учреждения: 1) </w:t>
      </w:r>
      <w:proofErr w:type="spellStart"/>
      <w:r w:rsidRPr="00A37480">
        <w:rPr>
          <w:rFonts w:ascii="Times New Roman" w:hAnsi="Times New Roman" w:cs="Times New Roman"/>
          <w:sz w:val="28"/>
          <w:szCs w:val="28"/>
        </w:rPr>
        <w:t>пенькощипальная</w:t>
      </w:r>
      <w:proofErr w:type="spellEnd"/>
      <w:r w:rsidRPr="00A37480">
        <w:rPr>
          <w:rFonts w:ascii="Times New Roman" w:hAnsi="Times New Roman" w:cs="Times New Roman"/>
          <w:sz w:val="28"/>
          <w:szCs w:val="28"/>
        </w:rPr>
        <w:t xml:space="preserve"> мастерская, в которой работало в течение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года до 25 000 человек, 2) женская мастерская,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состоявшая из трех отделов: модного, белошвейного, вышивки и метки белья, 3) сапожная мастерская, в которой под руководством опытного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мастера мальчики обучались сапожному мастерству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, 4) </w:t>
      </w:r>
      <w:r w:rsidRPr="00A37480">
        <w:rPr>
          <w:rFonts w:ascii="Times New Roman" w:hAnsi="Times New Roman" w:cs="Times New Roman"/>
          <w:sz w:val="28"/>
          <w:szCs w:val="28"/>
        </w:rPr>
        <w:t>народная столовая, в которой за небольшую плату отпускались обеды, а в праздничные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дни</w:t>
      </w:r>
      <w:proofErr w:type="gramEnd"/>
      <w:r w:rsidRPr="00A37480">
        <w:rPr>
          <w:rFonts w:ascii="Times New Roman" w:hAnsi="Times New Roman" w:cs="Times New Roman"/>
          <w:sz w:val="28"/>
          <w:szCs w:val="28"/>
        </w:rPr>
        <w:t xml:space="preserve"> устраивались бесплатные обеды на несколько сот человек, 5) ночлежный приют, взимавший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за ночлег по 3 копейки, 6) бесплатное призрение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480">
        <w:rPr>
          <w:rFonts w:ascii="Times New Roman" w:hAnsi="Times New Roman" w:cs="Times New Roman"/>
          <w:sz w:val="28"/>
          <w:szCs w:val="28"/>
        </w:rPr>
        <w:t>бедных женщин, 7) бесплатная амбулаторная л</w:t>
      </w:r>
      <w:r w:rsidR="00A37480" w:rsidRPr="00A37480">
        <w:rPr>
          <w:rFonts w:ascii="Times New Roman" w:hAnsi="Times New Roman" w:cs="Times New Roman"/>
          <w:sz w:val="28"/>
          <w:szCs w:val="28"/>
        </w:rPr>
        <w:t>е</w:t>
      </w:r>
      <w:r w:rsidRPr="00A37480">
        <w:rPr>
          <w:rFonts w:ascii="Times New Roman" w:hAnsi="Times New Roman" w:cs="Times New Roman"/>
          <w:sz w:val="28"/>
          <w:szCs w:val="28"/>
        </w:rPr>
        <w:t>чебница, 8) народные чтения, которые велись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по воскресным и праздничным дням и заключались в разъяснении Евангелия, а также чтении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нравственно полезных произведений по русской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480">
        <w:rPr>
          <w:rFonts w:ascii="Times New Roman" w:hAnsi="Times New Roman" w:cs="Times New Roman"/>
          <w:sz w:val="28"/>
          <w:szCs w:val="28"/>
        </w:rPr>
        <w:t>истории и литературе, 9) бесплатное начальное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народное училище, 10) вечерние классы ручного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труда, 11) класс женского рукоделия, 12) бесплатная детская библиотека при начальном училище,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13) народная бесплатная читальня, 14) воскресная школа, 15) рисовальные классы, 16) убежище для сирот и дневное пристанище для приходящих детей, 17) второй приют для малолетних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обоего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пола, 18) загородный Дом милосердия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имени отца Иоанна, служивший летом</w:t>
      </w:r>
      <w:proofErr w:type="gramEnd"/>
      <w:r w:rsidRPr="00A37480">
        <w:rPr>
          <w:rFonts w:ascii="Times New Roman" w:hAnsi="Times New Roman" w:cs="Times New Roman"/>
          <w:sz w:val="28"/>
          <w:szCs w:val="28"/>
        </w:rPr>
        <w:t xml:space="preserve"> для детей убежищем, 19) дом Андреевского приходско</w:t>
      </w:r>
      <w:r w:rsidR="00A37480" w:rsidRPr="00A37480">
        <w:rPr>
          <w:rFonts w:ascii="Times New Roman" w:hAnsi="Times New Roman" w:cs="Times New Roman"/>
          <w:sz w:val="28"/>
          <w:szCs w:val="28"/>
        </w:rPr>
        <w:t>г</w:t>
      </w:r>
      <w:r w:rsidRPr="00A37480">
        <w:rPr>
          <w:rFonts w:ascii="Times New Roman" w:hAnsi="Times New Roman" w:cs="Times New Roman"/>
          <w:sz w:val="28"/>
          <w:szCs w:val="28"/>
        </w:rPr>
        <w:t>о попечительства, где производилась ежегодно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выдача денежных пособий бедным на несколько</w:t>
      </w:r>
    </w:p>
    <w:p w:rsidR="0070594E" w:rsidRPr="00A37480" w:rsidRDefault="0070594E" w:rsidP="00A374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480">
        <w:rPr>
          <w:rFonts w:ascii="Times New Roman" w:hAnsi="Times New Roman" w:cs="Times New Roman"/>
          <w:sz w:val="28"/>
          <w:szCs w:val="28"/>
        </w:rPr>
        <w:t>тысяч рублей. Учреждена была также книжная</w:t>
      </w:r>
      <w:r w:rsidR="00A37480" w:rsidRPr="00A37480">
        <w:rPr>
          <w:rFonts w:ascii="Times New Roman" w:hAnsi="Times New Roman" w:cs="Times New Roman"/>
          <w:sz w:val="28"/>
          <w:szCs w:val="28"/>
        </w:rPr>
        <w:t xml:space="preserve"> </w:t>
      </w:r>
      <w:r w:rsidRPr="00A37480">
        <w:rPr>
          <w:rFonts w:ascii="Times New Roman" w:hAnsi="Times New Roman" w:cs="Times New Roman"/>
          <w:sz w:val="28"/>
          <w:szCs w:val="28"/>
        </w:rPr>
        <w:t>лавка и устроены огороды для снабжения овощами различных учреждений Дома трудолюбия.</w:t>
      </w:r>
    </w:p>
    <w:p w:rsidR="0070594E" w:rsidRDefault="0070594E" w:rsidP="007468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94E" w:rsidRDefault="0070594E" w:rsidP="007468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9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«Казанское Общество Трезвости» (КОТ) </w:t>
      </w:r>
    </w:p>
    <w:p w:rsidR="004017EF" w:rsidRPr="0070594E" w:rsidRDefault="007F038A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017EF" w:rsidRPr="0070594E">
          <w:rPr>
            <w:rStyle w:val="a3"/>
            <w:rFonts w:ascii="Times New Roman" w:hAnsi="Times New Roman" w:cs="Times New Roman"/>
            <w:sz w:val="28"/>
            <w:szCs w:val="28"/>
          </w:rPr>
          <w:t>http://trezvenie.org/forum/index.php?topic=2502.75</w:t>
        </w:r>
      </w:hyperlink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— одна из крупнейших в Российской Империи губернских просветительно-благотворительных организаций трезвеннической направленности с центром в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. Казани. 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Функционировало в 1892—1917 гг., распространяло свою деятельность, главным образом, 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>. Казань и Казанскую губернию, а также на другие местности Российской Империи, где были открыты отделы КОТ.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КОТ было создано небольшой группой известных православно-религиозных, общественных и научных деятелей в 1892 г. (как вспоминали затем его организаторы, «с 10 членами и с десятью рублями») с целью «противодействовать употреблению спирт</w:t>
      </w:r>
      <w:r w:rsidR="00746895" w:rsidRPr="0070594E">
        <w:rPr>
          <w:rFonts w:ascii="Times New Roman" w:hAnsi="Times New Roman" w:cs="Times New Roman"/>
          <w:sz w:val="28"/>
          <w:szCs w:val="28"/>
        </w:rPr>
        <w:t>ных напитков среди населения г</w:t>
      </w:r>
      <w:proofErr w:type="gramStart"/>
      <w:r w:rsidR="00746895" w:rsidRPr="0070594E">
        <w:rPr>
          <w:rFonts w:ascii="Times New Roman" w:hAnsi="Times New Roman" w:cs="Times New Roman"/>
          <w:sz w:val="28"/>
          <w:szCs w:val="28"/>
        </w:rPr>
        <w:t>.</w:t>
      </w:r>
      <w:r w:rsidRPr="0070594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>азани и для сего помогать нуждающимся членам советами, материальными средствами и приисканием занятий», которая в более широком смысле формулировалась как «отрезвление русского народа, выяснение и указание ему истинного пути жизни».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Точной датой образования КОТ считается 30 (11 августа) июля 1892 г., когда «зам министра» внутренних дел, его товарищем (заместителем) генерал-лейтенантом Н. И.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Шебеко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был утверждён устав общества.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Параграфом 3 устава КОТ определялось, что  «Общество состоит из членов обоего пола, всех вероисповеданий, званий и сословий, не допускаются только в члены Общества владельцы винокуренных, водочных и пивоваренных заводов и лица, занимающиеся продажей спиртных напитков». 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В конце XIX — начале XX веков алкоголизм в Казани и губернии, как и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повсеместно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в России, достиг особенно большого распространения; этому способствовали низкая культура населения, тяжёлые материально-бытовые </w:t>
      </w:r>
      <w:r w:rsidRPr="0070594E">
        <w:rPr>
          <w:rFonts w:ascii="Times New Roman" w:hAnsi="Times New Roman" w:cs="Times New Roman"/>
          <w:sz w:val="28"/>
          <w:szCs w:val="28"/>
        </w:rPr>
        <w:lastRenderedPageBreak/>
        <w:t xml:space="preserve">условия, а также широкая продажа алкогольных напитков. По свидетельству профессора И. М.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Догеля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, в 1884 году в Казани насчитывалось около трёхсот питейных заведений, то есть одно заведение на 490 жителей или почти на пятнадцать домов. Среднее потребление водки на душу населения в Казани в 1913 году составляло пятнадцать с половиной литров.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С самого начала своей деятельности общество заняло радикальные позиции в трезвенническом движении, пропагандируя полный отказ от употребления алкогольных напитков, признанных им (прежде всего, с медицинской точки зрения) ядом, и требуя от государства введения запрета на их производство и продажу.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Утверждение, что алкоголь является ядом не только в больших, но и в малых дозах, прозвучало одним из первых в России в публичной лекции И. М.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Догеля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, в которой был дан токсикологический, медико-психологический и социальный анализ употребления алкоголя.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94E">
        <w:rPr>
          <w:rFonts w:ascii="Times New Roman" w:hAnsi="Times New Roman" w:cs="Times New Roman"/>
          <w:b/>
          <w:sz w:val="28"/>
          <w:szCs w:val="28"/>
        </w:rPr>
        <w:t>Главную же причину самого пьянства идеологи КОТ усматривали в растущем отчуждении людей от Бога и их отказе от традиционно-русских норм жизни</w:t>
      </w:r>
      <w:r w:rsidR="007A6AC1" w:rsidRPr="0070594E">
        <w:rPr>
          <w:rFonts w:ascii="Times New Roman" w:hAnsi="Times New Roman" w:cs="Times New Roman"/>
          <w:b/>
          <w:sz w:val="28"/>
          <w:szCs w:val="28"/>
        </w:rPr>
        <w:t>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Во главе КОТ стоял Комитет, председателем которого являлся казначей и топограф Казанского Императорского университета А. Т. Соловьёв. 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Кроме него, в состав Комитета КОТ в разное время входили профессора А. И. Александров (в дальнейшем — после принятия монашества — епископ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, ректор Казанской, затем — Санкт-Петербургской Духовной Академий Анастасий), 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Л. О.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Даркшевич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, Н. Ф. Катанов, епископ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Мамадышский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Андрей (князь А. А. Ухтомский), известный религиозный писатель, инспектор Казанской Духовной Академии архимандрит Гурий (А. И. Степанов), настоятель Казанского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Спасо-Преображенского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миссионерского монастыря архимандрит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Варсонофий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(В. М. Лебедев), иеромонах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Евсевий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(Е. П. </w:t>
      </w:r>
      <w:r w:rsidRPr="0070594E">
        <w:rPr>
          <w:rFonts w:ascii="Times New Roman" w:hAnsi="Times New Roman" w:cs="Times New Roman"/>
          <w:sz w:val="28"/>
          <w:szCs w:val="28"/>
        </w:rPr>
        <w:lastRenderedPageBreak/>
        <w:t xml:space="preserve">Рождественский), игумен Казанского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Спасо-Преображенского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монастыря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Иоасаф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(И. И. Удалов), историк-краевед протоиерей А. П. Яблоков, казанский полицмейстер П. Б. Панфилов и многие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другие.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Почётными членами КОТ являлись такие известные личности, как протоиерей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Кронштадтского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Андреевского Собора </w:t>
      </w:r>
      <w:proofErr w:type="spellStart"/>
      <w:r w:rsidR="00D733D0" w:rsidRPr="0070594E">
        <w:rPr>
          <w:rFonts w:ascii="Times New Roman" w:hAnsi="Times New Roman" w:cs="Times New Roman"/>
          <w:sz w:val="28"/>
          <w:szCs w:val="28"/>
        </w:rPr>
        <w:t>св.прав.</w:t>
      </w:r>
      <w:bookmarkStart w:id="9" w:name="_GoBack"/>
      <w:bookmarkEnd w:id="9"/>
      <w:r w:rsidR="00D733D0" w:rsidRPr="0070594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D733D0" w:rsidRPr="0070594E">
        <w:rPr>
          <w:rFonts w:ascii="Times New Roman" w:hAnsi="Times New Roman" w:cs="Times New Roman"/>
          <w:sz w:val="28"/>
          <w:szCs w:val="28"/>
        </w:rPr>
        <w:t>.</w:t>
      </w:r>
      <w:r w:rsidRPr="0070594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>оанн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(И. И. Сергиев), экзарх Грузии Алексий (А. В. Молчанов), епископ Саратовский и Царицынский Алексий (А. Я.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Дородницын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), архиепископ Волынский и Житомирский Антоний (А. П. Храповицкий), архиепископы Казанские и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Свияжские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Владимир (И. П. Петров), Арсений (А. Д. Брянцев) и Иаков (И. А. Пятницкий), епископ Пензенский </w:t>
      </w:r>
      <w:proofErr w:type="spellStart"/>
      <w:proofErr w:type="gramStart"/>
      <w:r w:rsidRPr="0070594E">
        <w:rPr>
          <w:rFonts w:ascii="Times New Roman" w:hAnsi="Times New Roman" w:cs="Times New Roman"/>
          <w:sz w:val="28"/>
          <w:szCs w:val="28"/>
        </w:rPr>
        <w:t>Митрофан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(М. В.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Симашкевич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), епископ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Олонецкий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и Петрозаводский Никанор (Н. А. Надеждин), министр финансов России С. Ю. Витте, Самарский губернатор А. С. Брянчанинов, Казанские губернаторы П. А. Полторацкой, М. В. Стрижевский и П. М. Боярский, член Государственного Совета М. Н.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Галкин-Враской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, член Третьей Государственной Думы, городской голова Самары М. Д.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, городской голова Казани С. В. Дьяченко, ректор Императорского Казанского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университета Г. Ф. Дормидонтов, академик А. И. Соболевский, председательница Казанского Управления Российского общества «Красного Креста», супруга командующего войсками Казанского военного округа В. Д. Мещеринова и другие.</w:t>
      </w:r>
      <w:r w:rsidR="007A6AC1" w:rsidRPr="0070594E">
        <w:rPr>
          <w:rFonts w:ascii="Times New Roman" w:hAnsi="Times New Roman" w:cs="Times New Roman"/>
          <w:sz w:val="28"/>
          <w:szCs w:val="28"/>
        </w:rPr>
        <w:t xml:space="preserve"> </w:t>
      </w:r>
      <w:r w:rsidRPr="0070594E">
        <w:rPr>
          <w:rFonts w:ascii="Times New Roman" w:hAnsi="Times New Roman" w:cs="Times New Roman"/>
          <w:sz w:val="28"/>
          <w:szCs w:val="28"/>
        </w:rPr>
        <w:t>Одним из благотворителей общества являлся председатель Совета министров России П. А. Столыпин.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Благодаря активной позиции руководства общества, эффективной постановке дела и поддержке со стороны представителей местного православного духовенства и преподавательской интеллигенции, КОТ за короткое время удалось охватить своей деятельностью не только г. Казань, но и всю Казанскую губернию, а затем — обрести последователей и организовать филиалы в целом ряде других местностей Российской Империи (в том числе и в Сибири). </w:t>
      </w:r>
      <w:proofErr w:type="gramEnd"/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отчёту о деятельности КОТ с 1 сентября 1899 г. по 1 января 1901 г., к концу означенного периода насчитывалось шестьдесят отделов общества. В социальном отношении состав членов КОТ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был крайне разнообразным в нём состояли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представители практически всех сословий — от простых крестьянин и чернорабочих до княгини Е. П.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Крапоткиной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и графини Н. Н.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Каймо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Содержание деятельности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В июне 1893 г. КОТ открыло в г. Казани первую чайно-столовую, в январе 1895 г. — первый мужской ночлежный приют, в марте того же года — бесплатную народную библиотеку-читальню, в декабре 1895 г. — вторую чайно-столовую, в январе 1898 г. — приют для безродных детей. 27 марта 1896 г. КОТ открыло здесь (на Владимирской улице, «в доме Никитиной») первую в России специализированную больницу для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лечения алкоголиков.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В 1900 г. при его содействии начало действовать «Общество Защиты Несчастных Женщин в г. Казани», основными задачами которого стали профилактика и борьба с проституцией, в сентябре 1901 г. КОТ открыло в г. Казани приют для женщин.</w:t>
      </w:r>
      <w:r w:rsidR="007A6AC1" w:rsidRPr="007059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Общество проводило разъяснительную работу в рабочей, крестьянской и мещанской среде, организовывало публичные чтения</w:t>
      </w:r>
      <w:r w:rsidR="007A6AC1" w:rsidRPr="0070594E">
        <w:rPr>
          <w:rFonts w:ascii="Times New Roman" w:hAnsi="Times New Roman" w:cs="Times New Roman"/>
          <w:sz w:val="28"/>
          <w:szCs w:val="28"/>
        </w:rPr>
        <w:t xml:space="preserve"> </w:t>
      </w:r>
      <w:r w:rsidRPr="0070594E">
        <w:rPr>
          <w:rFonts w:ascii="Times New Roman" w:hAnsi="Times New Roman" w:cs="Times New Roman"/>
          <w:sz w:val="28"/>
          <w:szCs w:val="28"/>
        </w:rPr>
        <w:t>антиалкогольной, героико-патриотической, лирической и религиозно-нравственной литературы, занималось издательской деятельностью (с 1896 по 1917 гг. выходил его собственный журнал «Деятель», а с 1905 по 1915 гг. — газета «Русь Православная и Самодержавная», организовывало в г. Казани праздники трезвости.</w:t>
      </w:r>
      <w:proofErr w:type="gramEnd"/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 xml:space="preserve">Одновременно КОТ издавало, переиздавало большими тиражами и распространяло по всей России дешёвые брошюры антиалкогольного и духовно-нравственного содержания, такие, например, как «Всемерно должно удаляться от пьянства» (епископа Воронежского Тихона Т. С. Соколова), «Письма С. А. Рачинского духовному юношеству о трезвости», «Спиртные </w:t>
      </w:r>
      <w:r w:rsidRPr="0070594E">
        <w:rPr>
          <w:rFonts w:ascii="Times New Roman" w:hAnsi="Times New Roman" w:cs="Times New Roman"/>
          <w:sz w:val="28"/>
          <w:szCs w:val="28"/>
        </w:rPr>
        <w:lastRenderedPageBreak/>
        <w:t xml:space="preserve">напитки, как несчастие человека»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И. М.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Догеля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и А. Т. Соловьёва), </w:t>
      </w:r>
      <w:r w:rsidRPr="0070594E">
        <w:rPr>
          <w:rFonts w:ascii="Times New Roman" w:hAnsi="Times New Roman" w:cs="Times New Roman"/>
          <w:b/>
          <w:sz w:val="28"/>
          <w:szCs w:val="28"/>
        </w:rPr>
        <w:t xml:space="preserve">«Слова отца Иоанна Ильича Сергиева против пьянства» </w:t>
      </w:r>
      <w:r w:rsidRPr="0070594E">
        <w:rPr>
          <w:rFonts w:ascii="Times New Roman" w:hAnsi="Times New Roman" w:cs="Times New Roman"/>
          <w:sz w:val="28"/>
          <w:szCs w:val="28"/>
        </w:rPr>
        <w:t>и другие.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Кроме этого, общество занималось активной популяризацией общероссийской и местной истории, выпуская в свет и распространяя (в качестве приложений к «Деятелю» и отдельными изданиями) книги А. И. Александрова «Царь-Освободитель преобразователь и просветитель России Император Александр II», И. А. Ардашева «Развалины Болгар и древние Болгары (по описанию англичанина Э. П.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Турнерелли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)», К. Ф. Фукса «История Казани» и другие, а также — прививало прикладные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знания сельскохозяйственного характера, которые содержались в таких, к примеру, изданиях, как книга священника В. И.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Веселицкого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«Простое руководство к разумному пчеловодству (с рисунками)».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С 1906 по 1917 гг. в г. Казани им были организованы бесплатный ночлежный приют (открылся в декабре 1906 г.), а также приют для «приготовляющихся на учительское звание и учащихся в учебных заведениях», сооружён Храм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о Имя Всемилостивого Спаса (открылся в апреле 1907 г.), созданы единственная в своём роде в России специализированная лечебница для больных волчанкой (открылась в том же 1907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г.), несколько мастерских (живописная, переплётная, портняжная, сапожная, слесарная, столярная) и прочие учреждения.</w:t>
      </w:r>
      <w:proofErr w:type="gramEnd"/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Помимо названных, КОТ оказывало помощь «Казанскому Обществу Православных Русских Женщин», «Обществу ремесленников строительных работ при «Русском Собрании», «Казанскому Обществу во имя Всемилостивого Спаса призрения малолетних слабоумных и калек» и другим организациям, принимала деятельное участие в возведении в г. Казани часовни над могилою местоблюстителя Патриаршего Престола (в 1612 — 1613 гг.), второго митрополита Казанского и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Свияжского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Ефрема, помазавшего на царство первого царя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из Дома Романовых — Михаила Фёдоровича.</w:t>
      </w:r>
    </w:p>
    <w:p w:rsidR="004017EF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lastRenderedPageBreak/>
        <w:t xml:space="preserve">Высокий статус КОТ был признан не только в Российской Империи, где оно получило несколько престижных наград (в том числе — малую серебряную медаль Всероссийской гигиенической выставки в г. Санкт-Петербурге и почётный отзыв выставки, проводившейся в 1909 г. Московским Комитетом грамотности), но и 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>заграницей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 xml:space="preserve"> например, на Всемирной промышленной выставке в г. Турине (Итальянское королевство), где обществу была присуждена высшая награда (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94E">
        <w:rPr>
          <w:rFonts w:ascii="Times New Roman" w:hAnsi="Times New Roman" w:cs="Times New Roman"/>
          <w:sz w:val="28"/>
          <w:szCs w:val="28"/>
        </w:rPr>
        <w:t>prix</w:t>
      </w:r>
      <w:proofErr w:type="spellEnd"/>
      <w:r w:rsidRPr="0070594E">
        <w:rPr>
          <w:rFonts w:ascii="Times New Roman" w:hAnsi="Times New Roman" w:cs="Times New Roman"/>
          <w:sz w:val="28"/>
          <w:szCs w:val="28"/>
        </w:rPr>
        <w:t>), а его руководителю А. Т. Соловьёву — большая серебряная медаль.</w:t>
      </w:r>
    </w:p>
    <w:p w:rsidR="008B435A" w:rsidRPr="0070594E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94E">
        <w:rPr>
          <w:rFonts w:ascii="Times New Roman" w:hAnsi="Times New Roman" w:cs="Times New Roman"/>
          <w:sz w:val="28"/>
          <w:szCs w:val="28"/>
        </w:rPr>
        <w:t>С началом</w:t>
      </w:r>
      <w:proofErr w:type="gramStart"/>
      <w:r w:rsidRPr="0070594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0594E">
        <w:rPr>
          <w:rFonts w:ascii="Times New Roman" w:hAnsi="Times New Roman" w:cs="Times New Roman"/>
          <w:sz w:val="28"/>
          <w:szCs w:val="28"/>
        </w:rPr>
        <w:t>ервой мировой войны общество выступило активным проводником «сухого закона», оказывало значительную помощь раненым воинам так, например, в г. Казани КОТ открыло лазарет (№ 38) для раненых воинов, при котором действовал кружок «Вера, Надежда и Любовь», а также помогало в своём приюте проходившим через город беженцам.</w:t>
      </w:r>
      <w:r w:rsidR="007A6AC1" w:rsidRPr="0070594E">
        <w:rPr>
          <w:rFonts w:ascii="Times New Roman" w:hAnsi="Times New Roman" w:cs="Times New Roman"/>
          <w:sz w:val="28"/>
          <w:szCs w:val="28"/>
        </w:rPr>
        <w:t xml:space="preserve"> </w:t>
      </w:r>
      <w:r w:rsidRPr="0070594E">
        <w:rPr>
          <w:rFonts w:ascii="Times New Roman" w:hAnsi="Times New Roman" w:cs="Times New Roman"/>
          <w:sz w:val="28"/>
          <w:szCs w:val="28"/>
        </w:rPr>
        <w:t>После революционных событий февраля-марта 1917 г., попав под действие репрессий,  КОТ вынуждено было сначала значительно замедлить, а затем и вовсе прекратить свою деятельность.</w:t>
      </w:r>
    </w:p>
    <w:sectPr w:rsidR="008B435A" w:rsidRPr="0070594E" w:rsidSect="007F0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06E"/>
    <w:rsid w:val="003D10C9"/>
    <w:rsid w:val="004017EF"/>
    <w:rsid w:val="0070594E"/>
    <w:rsid w:val="00746895"/>
    <w:rsid w:val="007A6AC1"/>
    <w:rsid w:val="007F038A"/>
    <w:rsid w:val="008B435A"/>
    <w:rsid w:val="00A37480"/>
    <w:rsid w:val="00D3206E"/>
    <w:rsid w:val="00D7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7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46895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7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468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ezvenie.org/forum/index.php?topic=2502.75" TargetMode="External"/><Relationship Id="rId4" Type="http://schemas.openxmlformats.org/officeDocument/2006/relationships/hyperlink" Target="http://www.pravoslavie.ru/jurnal/3040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</cp:lastModifiedBy>
  <cp:revision>12</cp:revision>
  <dcterms:created xsi:type="dcterms:W3CDTF">2006-01-05T02:04:00Z</dcterms:created>
  <dcterms:modified xsi:type="dcterms:W3CDTF">2013-05-18T18:34:00Z</dcterms:modified>
</cp:coreProperties>
</file>